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PoE Switch | DH-PFS3009-8ET-96-V2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PoE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8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10/100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Uplink Speed</w:t>
            </w:r>
          </w:p>
        </w:tc>
        <w:tc>
          <w:p>
            <w:r>
              <w:t>10/100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1-8: 8 × RJ-45 10/100 Mbps; Port 9: 1 × RJ-45 10/100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External power supply: 48–57 VDC, 2–1.68 A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–10 °C to +55 °C (+14 °F to +131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Idle: 1.5 W
Full load: 96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Layer</w:t>
            </w:r>
          </w:p>
        </w:tc>
        <w:tc>
          <w:p>
            <w:r>
              <w:t>Layer 2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Management Type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Smart Managed Switch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1.8 Gbps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1.34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768 kbit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2K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Communication Standard</w:t>
            </w:r>
          </w:p>
        </w:tc>
        <w:tc>
          <w:p>
            <w:r>
              <w:t>IEEE 802.3; IEEE 802.3u; IEEE 802.3x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Protocol</w:t>
            </w:r>
          </w:p>
        </w:tc>
        <w:tc>
          <w:p>
            <w:r>
              <w:t>IEEE 802.3af; IEEE 802.3at; Hi-PoE; IEEE 802.3bt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Power</w:t>
            </w:r>
          </w:p>
        </w:tc>
        <w:tc>
          <w:p>
            <w:r>
              <w:t>Port 2-8 ≤ 30 W, Port 1 ≤ 90 W, total ≤ 96 W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Power Consumption Management</w:t>
            </w:r>
          </w:p>
        </w:tc>
        <w:tc>
          <w:p>
            <w:r>
              <w:t>PoE power consumption management;
PoE power on/off;
Turns off PoE if overload is detected;
Green PoE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PoE Pin Assignment</w:t>
            </w:r>
          </w:p>
        </w:tc>
        <w:tc>
          <w:p>
            <w:r>
              <w:t>1, 2, 4, 5 (V+), 3, 6, 7, 8 (V-)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ePoE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Feature</w:t>
            </w:r>
          </w:p>
        </w:tc>
        <w:tc>
          <w:p>
            <w:r>
              <w:t>Long Distance PoE Transmission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kV;
Contact discharge: 6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4 kV;
Differential mode: 2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490 g (1.08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1.3 kg (2.87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190 mm × 100 mm × 30 mm 
(7.48" × 3.94" × 1.18")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267 mm × 239 mm × 77 mm (10.51" × 9.41" × 3.03")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Iron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mount; wall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